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160"/>
        <w:jc w:val="center"/>
      </w:pPr>
      <w:r>
        <w:rPr>
          <w:b/>
          <w:color w:val="1E40AF"/>
          <w:sz w:val="44"/>
        </w:rPr>
        <w:t>CONDITIONS GÉNÉRALES DE RÉPARATIONS</w:t>
      </w:r>
    </w:p>
    <w:p>
      <w:pPr>
        <w:jc w:val="center"/>
      </w:pPr>
      <w:r>
        <w:rPr>
          <w:i/>
          <w:color w:val="4B5563"/>
          <w:sz w:val="26"/>
        </w:rPr>
        <w:t>CGR – Fred Réparation</w:t>
      </w:r>
    </w:p>
    <w:p/>
    <w:p>
      <w:pPr>
        <w:spacing w:before="360" w:after="160"/>
      </w:pPr>
      <w:r>
        <w:rPr>
          <w:b/>
          <w:color w:val="1E40AF"/>
          <w:sz w:val="28"/>
        </w:rPr>
        <w:t>Article 1 – Identification de l'entreprise</w:t>
      </w:r>
    </w:p>
    <w:p>
      <w:pPr>
        <w:spacing w:after="120"/>
      </w:pPr>
      <w:r>
        <w:rPr>
          <w:b/>
          <w:sz w:val="22"/>
        </w:rPr>
        <w:t>Fred Réparation - EI</w:t>
      </w:r>
    </w:p>
    <w:p>
      <w:pPr>
        <w:spacing w:after="120"/>
      </w:pPr>
      <w:r>
        <w:rPr>
          <w:sz w:val="22"/>
        </w:rPr>
        <w:t>Frédéric DEDRIE</w:t>
      </w:r>
    </w:p>
    <w:p>
      <w:pPr>
        <w:spacing w:after="120"/>
      </w:pPr>
      <w:r>
        <w:rPr>
          <w:sz w:val="22"/>
        </w:rPr>
        <w:t>88 rue Gosset, 51100 Reims</w:t>
      </w:r>
    </w:p>
    <w:p>
      <w:pPr>
        <w:spacing w:after="120"/>
      </w:pPr>
      <w:r>
        <w:rPr>
          <w:sz w:val="22"/>
        </w:rPr>
        <w:t>SIRET : 521 461 442 00035</w:t>
      </w:r>
    </w:p>
    <w:p>
      <w:pPr>
        <w:spacing w:after="120"/>
      </w:pPr>
      <w:r>
        <w:rPr>
          <w:sz w:val="22"/>
        </w:rPr>
        <w:t>Téléphone : 06 23 59 26 86</w:t>
      </w:r>
    </w:p>
    <w:p>
      <w:pPr>
        <w:spacing w:after="120"/>
      </w:pPr>
      <w:r>
        <w:rPr>
          <w:sz w:val="22"/>
        </w:rPr>
        <w:t>Email : contact@fredreparation.fr</w:t>
      </w:r>
    </w:p>
    <w:p>
      <w:pPr>
        <w:spacing w:after="120"/>
      </w:pPr>
      <w:r>
        <w:rPr>
          <w:sz w:val="22"/>
        </w:rPr>
        <w:t>RC PRO : SIMPLIS - N° de contrat 24505546</w:t>
      </w:r>
    </w:p>
    <w:p>
      <w:pPr>
        <w:spacing w:before="360" w:after="160"/>
      </w:pPr>
      <w:r>
        <w:rPr>
          <w:b/>
          <w:color w:val="1E40AF"/>
          <w:sz w:val="28"/>
        </w:rPr>
        <w:t>Article 2 – Statut de réparateur indépendant</w:t>
      </w:r>
    </w:p>
    <w:p>
      <w:pPr>
        <w:spacing w:after="120"/>
      </w:pPr>
      <w:r>
        <w:rPr>
          <w:sz w:val="22"/>
        </w:rPr>
        <w:t>Fred Réparation est un service de réparation indépendant. Nous ne sommes ni un centre agréé, ni affilié aux marques Apple, Samsung ou tout autre fabricant.</w:t>
      </w:r>
    </w:p>
    <w:p>
      <w:pPr>
        <w:spacing w:after="120"/>
      </w:pPr>
      <w:r>
        <w:rPr>
          <w:sz w:val="22"/>
        </w:rPr>
        <w:t>Les pièces utilisées peuvent être :</w:t>
      </w:r>
    </w:p>
    <w:p>
      <w:pPr>
        <w:pStyle w:val="ListBullet"/>
        <w:spacing w:after="60"/>
      </w:pPr>
      <w:r>
        <w:t>des pièces compatibles de qualité,</w:t>
      </w:r>
    </w:p>
    <w:p>
      <w:pPr>
        <w:pStyle w:val="ListBullet"/>
        <w:spacing w:after="60"/>
      </w:pPr>
      <w:r>
        <w:t>ou des pièces d'origine, uniquement lorsque cela est expressément mentionné.</w:t>
      </w:r>
    </w:p>
    <w:p>
      <w:pPr>
        <w:spacing w:after="120"/>
      </w:pPr>
      <w:r>
        <w:rPr>
          <w:sz w:val="22"/>
        </w:rPr>
        <w:t>Le client est informé que toute intervention effectuée par un réparateur indépendant est susceptible d'affecter la garantie constructeur de son appareil.</w:t>
      </w:r>
    </w:p>
    <w:p>
      <w:pPr>
        <w:spacing w:after="120"/>
      </w:pPr>
      <w:r>
        <w:rPr>
          <w:sz w:val="22"/>
        </w:rPr>
        <w:t>Les marques et logos cités restent la propriété de leurs détenteurs respectifs et sont utilisés uniquement à des fins d'identification.</w:t>
      </w:r>
    </w:p>
    <w:p>
      <w:pPr>
        <w:spacing w:before="360" w:after="160"/>
      </w:pPr>
      <w:r>
        <w:rPr>
          <w:b/>
          <w:color w:val="1E40AF"/>
          <w:sz w:val="28"/>
        </w:rPr>
        <w:t>Article 3 – Acceptation des conditions</w:t>
      </w:r>
    </w:p>
    <w:p>
      <w:pPr>
        <w:spacing w:after="120"/>
      </w:pPr>
      <w:r>
        <w:rPr>
          <w:sz w:val="22"/>
        </w:rPr>
        <w:t>Toute remise d'un appareil pour réparation implique l'acceptation pleine et entière des présentes conditions générales.</w:t>
      </w:r>
    </w:p>
    <w:p>
      <w:pPr>
        <w:spacing w:before="360" w:after="160"/>
      </w:pPr>
      <w:r>
        <w:rPr>
          <w:b/>
          <w:color w:val="1E40AF"/>
          <w:sz w:val="28"/>
        </w:rPr>
        <w:t>Article 4 – Sauvegarde des données et blocages</w:t>
      </w:r>
    </w:p>
    <w:p>
      <w:pPr>
        <w:spacing w:after="120"/>
      </w:pPr>
      <w:r>
        <w:rPr>
          <w:sz w:val="22"/>
        </w:rPr>
        <w:t>Le client est seul responsable de la sauvegarde de ses données avant toute intervention.</w:t>
      </w:r>
    </w:p>
    <w:p>
      <w:pPr>
        <w:spacing w:after="120"/>
      </w:pPr>
      <w:r>
        <w:rPr>
          <w:sz w:val="22"/>
        </w:rPr>
        <w:t>Fred Réparation ne saurait être tenu responsable :</w:t>
      </w:r>
    </w:p>
    <w:p>
      <w:pPr>
        <w:pStyle w:val="ListBullet"/>
        <w:spacing w:after="60"/>
      </w:pPr>
      <w:r>
        <w:t>de la perte de données,</w:t>
      </w:r>
    </w:p>
    <w:p>
      <w:pPr>
        <w:pStyle w:val="ListBullet"/>
        <w:spacing w:after="60"/>
      </w:pPr>
      <w:r>
        <w:t>de leur altération,</w:t>
      </w:r>
    </w:p>
    <w:p>
      <w:pPr>
        <w:pStyle w:val="ListBullet"/>
        <w:spacing w:after="60"/>
      </w:pPr>
      <w:r>
        <w:t>ou de tout dommage indirect lié aux données.</w:t>
      </w:r>
    </w:p>
    <w:p>
      <w:pPr>
        <w:spacing w:after="120"/>
      </w:pPr>
      <w:r>
        <w:rPr>
          <w:sz w:val="22"/>
        </w:rPr>
        <w:t>Aucune indemnisation ne pourra être demandée à ce titre.</w:t>
      </w:r>
    </w:p>
    <w:p>
      <w:pPr>
        <w:spacing w:after="120"/>
      </w:pPr>
      <w:r>
        <w:rPr>
          <w:b/>
          <w:sz w:val="22"/>
        </w:rPr>
        <w:t>Concernant les appareils bloqués :</w:t>
      </w:r>
    </w:p>
    <w:p>
      <w:pPr>
        <w:spacing w:after="120"/>
      </w:pPr>
      <w:r>
        <w:rPr>
          <w:sz w:val="22"/>
        </w:rPr>
        <w:t>Aucun service de déblocage de compte (iCloud, Google, mot de passe, opérateur ou tout autre système de sécurité) n'est effectué.</w:t>
      </w:r>
    </w:p>
    <w:p>
      <w:pPr>
        <w:spacing w:after="120"/>
      </w:pPr>
      <w:r>
        <w:rPr>
          <w:sz w:val="22"/>
        </w:rPr>
        <w:t>Toute intervention sur un appareil bloqué nécessite une preuve d'appartenance valide du propriétaire.</w:t>
      </w:r>
    </w:p>
    <w:p>
      <w:pPr>
        <w:spacing w:before="360" w:after="160"/>
      </w:pPr>
      <w:r>
        <w:rPr>
          <w:b/>
          <w:color w:val="1E40AF"/>
          <w:sz w:val="28"/>
        </w:rPr>
        <w:t>Article 5 – Devis et acceptation</w:t>
      </w:r>
    </w:p>
    <w:p>
      <w:pPr>
        <w:spacing w:after="120"/>
      </w:pPr>
      <w:r>
        <w:rPr>
          <w:sz w:val="22"/>
        </w:rPr>
        <w:t>Un devis peut être établi avant réparation.</w:t>
      </w:r>
    </w:p>
    <w:p>
      <w:pPr>
        <w:spacing w:after="120"/>
      </w:pPr>
      <w:r>
        <w:rPr>
          <w:sz w:val="22"/>
        </w:rPr>
        <w:t>La réparation ne sera effectuée qu'après validation du client :</w:t>
      </w:r>
    </w:p>
    <w:p>
      <w:pPr>
        <w:pStyle w:val="ListBullet"/>
        <w:spacing w:after="60"/>
      </w:pPr>
      <w:r>
        <w:t>oralement,</w:t>
      </w:r>
    </w:p>
    <w:p>
      <w:pPr>
        <w:pStyle w:val="ListBullet"/>
        <w:spacing w:after="60"/>
      </w:pPr>
      <w:r>
        <w:t>par message,</w:t>
      </w:r>
    </w:p>
    <w:p>
      <w:pPr>
        <w:pStyle w:val="ListBullet"/>
        <w:spacing w:after="60"/>
      </w:pPr>
      <w:r>
        <w:t>ou par signature.</w:t>
      </w:r>
    </w:p>
    <w:p>
      <w:pPr>
        <w:spacing w:before="360" w:after="160"/>
      </w:pPr>
      <w:r>
        <w:rPr>
          <w:b/>
          <w:color w:val="1E40AF"/>
          <w:sz w:val="28"/>
        </w:rPr>
        <w:t>Article 6 – Tarifs et paiement</w:t>
      </w:r>
    </w:p>
    <w:p>
      <w:pPr>
        <w:spacing w:after="120"/>
      </w:pPr>
      <w:r>
        <w:rPr>
          <w:sz w:val="22"/>
        </w:rPr>
        <w:t>Les prix sont exprimés en euros, toutes taxes comprises (TTC).</w:t>
      </w:r>
    </w:p>
    <w:p>
      <w:pPr>
        <w:spacing w:after="120"/>
      </w:pPr>
      <w:r>
        <w:rPr>
          <w:sz w:val="22"/>
        </w:rPr>
        <w:t>Le paiement est exigible à la restitution de l'appareil.</w:t>
      </w:r>
    </w:p>
    <w:p>
      <w:pPr>
        <w:spacing w:after="120"/>
      </w:pPr>
      <w:r>
        <w:rPr>
          <w:b/>
          <w:sz w:val="22"/>
        </w:rPr>
        <w:t>Moyens de paiement acceptés : Espèces / Carte bancaire / Virement</w:t>
      </w:r>
    </w:p>
    <w:p>
      <w:pPr>
        <w:spacing w:before="360" w:after="160"/>
      </w:pPr>
      <w:r>
        <w:rPr>
          <w:b/>
          <w:color w:val="1E40AF"/>
          <w:sz w:val="28"/>
        </w:rPr>
        <w:t>Article 7 – Acompte</w:t>
      </w:r>
    </w:p>
    <w:p>
      <w:pPr>
        <w:spacing w:after="120"/>
      </w:pPr>
      <w:r>
        <w:rPr>
          <w:sz w:val="22"/>
        </w:rPr>
        <w:t>Un acompte peut être exigé avant toute commande de pièce.</w:t>
      </w:r>
    </w:p>
    <w:p>
      <w:pPr>
        <w:spacing w:after="120"/>
      </w:pPr>
      <w:r>
        <w:rPr>
          <w:sz w:val="22"/>
        </w:rPr>
        <w:t>Aucune commande de pièce ne sera effectuée sans validation et règlement préalable de cet acompte.</w:t>
      </w:r>
    </w:p>
    <w:p>
      <w:pPr>
        <w:spacing w:after="120"/>
      </w:pPr>
      <w:r>
        <w:rPr>
          <w:b/>
          <w:sz w:val="22"/>
        </w:rPr>
        <w:t>En cas d'annulation par le client après commande, l'acompte ne pourra être remboursé.</w:t>
      </w:r>
    </w:p>
    <w:p>
      <w:pPr>
        <w:spacing w:after="120"/>
      </w:pPr>
      <w:r>
        <w:rPr>
          <w:b/>
          <w:sz w:val="22"/>
        </w:rPr>
        <w:t>Conditions de non-remboursement :</w:t>
      </w:r>
    </w:p>
    <w:p>
      <w:pPr>
        <w:pStyle w:val="ListBullet"/>
        <w:spacing w:after="60"/>
      </w:pPr>
      <w:r>
        <w:t>Acompte non remboursable dès validation du devis.</w:t>
      </w:r>
    </w:p>
    <w:p>
      <w:pPr>
        <w:pStyle w:val="ListBullet"/>
        <w:spacing w:after="60"/>
      </w:pPr>
      <w:r>
        <w:t>Acompte non remboursable en cas de non-présentation du client sous 15 jours.</w:t>
      </w:r>
    </w:p>
    <w:p>
      <w:pPr>
        <w:spacing w:before="360" w:after="160"/>
      </w:pPr>
      <w:r>
        <w:rPr>
          <w:b/>
          <w:color w:val="1E40AF"/>
          <w:sz w:val="28"/>
        </w:rPr>
        <w:t>Article 8 – Délais d'intervention</w:t>
      </w:r>
    </w:p>
    <w:p>
      <w:pPr>
        <w:spacing w:after="120"/>
      </w:pPr>
      <w:r>
        <w:rPr>
          <w:sz w:val="22"/>
        </w:rPr>
        <w:t>Les délais de réparation sont donnés à titre indicatif.</w:t>
      </w:r>
    </w:p>
    <w:p>
      <w:pPr>
        <w:spacing w:after="120"/>
      </w:pPr>
      <w:r>
        <w:rPr>
          <w:sz w:val="22"/>
        </w:rPr>
        <w:t>Ils peuvent varier en fonction :</w:t>
      </w:r>
    </w:p>
    <w:p>
      <w:pPr>
        <w:pStyle w:val="ListBullet"/>
        <w:spacing w:after="60"/>
      </w:pPr>
      <w:r>
        <w:t>de la disponibilité des pièces,</w:t>
      </w:r>
    </w:p>
    <w:p>
      <w:pPr>
        <w:pStyle w:val="ListBullet"/>
        <w:spacing w:after="60"/>
      </w:pPr>
      <w:r>
        <w:t>de la complexité de la panne,</w:t>
      </w:r>
    </w:p>
    <w:p>
      <w:pPr>
        <w:pStyle w:val="ListBullet"/>
        <w:spacing w:after="60"/>
      </w:pPr>
      <w:r>
        <w:t>ou de contraintes techniques.</w:t>
      </w:r>
    </w:p>
    <w:p>
      <w:pPr>
        <w:spacing w:after="120"/>
      </w:pPr>
      <w:r>
        <w:rPr>
          <w:sz w:val="22"/>
        </w:rPr>
        <w:t>Aucun retard ne pourra donner lieu à indemnisation.</w:t>
      </w:r>
    </w:p>
    <w:p>
      <w:pPr>
        <w:spacing w:before="360" w:after="160"/>
      </w:pPr>
      <w:r>
        <w:rPr>
          <w:b/>
          <w:color w:val="1E40AF"/>
          <w:sz w:val="28"/>
        </w:rPr>
        <w:t>Article 9 – Garantie des réparations</w:t>
      </w:r>
    </w:p>
    <w:p>
      <w:pPr>
        <w:spacing w:after="120"/>
      </w:pPr>
      <w:r>
        <w:rPr>
          <w:b/>
          <w:sz w:val="22"/>
        </w:rPr>
        <w:t>Les réparations sont garanties 3 mois.</w:t>
      </w:r>
    </w:p>
    <w:p>
      <w:pPr>
        <w:spacing w:after="120"/>
      </w:pPr>
      <w:r>
        <w:rPr>
          <w:sz w:val="22"/>
        </w:rPr>
        <w:t>La garantie couvre uniquement :</w:t>
      </w:r>
    </w:p>
    <w:p>
      <w:pPr>
        <w:pStyle w:val="ListBullet"/>
        <w:spacing w:after="60"/>
      </w:pPr>
      <w:r>
        <w:t>la pièce remplacée,</w:t>
      </w:r>
    </w:p>
    <w:p>
      <w:pPr>
        <w:pStyle w:val="ListBullet"/>
        <w:spacing w:after="60"/>
      </w:pPr>
      <w:r>
        <w:t>et la main d'œuvre associée.</w:t>
      </w:r>
    </w:p>
    <w:p>
      <w:pPr>
        <w:spacing w:after="120"/>
      </w:pPr>
      <w:r>
        <w:rPr>
          <w:b/>
          <w:sz w:val="22"/>
        </w:rPr>
        <w:t>La garantie ne couvre pas :</w:t>
      </w:r>
    </w:p>
    <w:p>
      <w:pPr>
        <w:pStyle w:val="ListBullet"/>
        <w:spacing w:after="60"/>
      </w:pPr>
      <w:r>
        <w:t>choc ou chute,</w:t>
      </w:r>
    </w:p>
    <w:p>
      <w:pPr>
        <w:pStyle w:val="ListBullet"/>
        <w:spacing w:after="60"/>
      </w:pPr>
      <w:r>
        <w:t>pression sur l'écran,</w:t>
      </w:r>
    </w:p>
    <w:p>
      <w:pPr>
        <w:pStyle w:val="ListBullet"/>
        <w:spacing w:after="60"/>
      </w:pPr>
      <w:r>
        <w:t>oxydation / eau / humidité,</w:t>
      </w:r>
    </w:p>
    <w:p>
      <w:pPr>
        <w:pStyle w:val="ListBullet"/>
        <w:spacing w:after="60"/>
      </w:pPr>
      <w:r>
        <w:t>toute panne survenant sur un appareil ayant été en contact avec un liquide, quelle que soit la date du contact,</w:t>
      </w:r>
    </w:p>
    <w:p>
      <w:pPr>
        <w:pStyle w:val="ListBullet"/>
        <w:spacing w:after="60"/>
      </w:pPr>
      <w:r>
        <w:t>toute panne secondaire non liée à la pièce remplacée,</w:t>
      </w:r>
    </w:p>
    <w:p>
      <w:pPr>
        <w:pStyle w:val="ListBullet"/>
        <w:spacing w:after="60"/>
      </w:pPr>
      <w:r>
        <w:t>mauvaise utilisation,</w:t>
      </w:r>
    </w:p>
    <w:p>
      <w:pPr>
        <w:pStyle w:val="ListBullet"/>
        <w:spacing w:after="60"/>
      </w:pPr>
      <w:r>
        <w:t>détérioration volontaire,</w:t>
      </w:r>
    </w:p>
    <w:p>
      <w:pPr>
        <w:pStyle w:val="ListBullet"/>
        <w:spacing w:after="60"/>
      </w:pPr>
      <w:r>
        <w:t>intervention par un tiers.</w:t>
      </w:r>
    </w:p>
    <w:p>
      <w:pPr>
        <w:spacing w:after="120"/>
      </w:pPr>
      <w:r>
        <w:rPr>
          <w:b/>
          <w:sz w:val="22"/>
        </w:rPr>
        <w:t>Exemples d'écrans qui ne sont pas pris en garantie :</w:t>
      </w:r>
    </w:p>
    <w:p>
      <w:pPr>
        <w:spacing w:after="120"/>
      </w:pPr>
      <w:r>
        <w:rPr>
          <w:sz w:val="22"/>
        </w:rPr>
        <w:t>• Traits verticaux qui apparaissent : cela arrive lorsqu'il y a eu pression sur l'écran ou de choc. Aussi lorsque le châssis est déformé, l'écran est alors toujours sous tension.</w:t>
      </w:r>
    </w:p>
    <w:p>
      <w:pPr>
        <w:spacing w:after="120"/>
      </w:pPr>
      <w:r>
        <w:rPr>
          <w:sz w:val="22"/>
        </w:rPr>
        <w:t>• Taches noires qui apparaissent : l'écran s'est fissuré de l'intérieur, ce sont les cristaux liquides qui coulent à l'intérieur de l'écran. Cela arrive lorsqu'il y a eu pression sur l'écran ou de choc.</w:t>
      </w:r>
    </w:p>
    <w:p>
      <w:pPr>
        <w:spacing w:before="360" w:after="160"/>
      </w:pPr>
      <w:r>
        <w:rPr>
          <w:b/>
          <w:color w:val="1E40AF"/>
          <w:sz w:val="28"/>
        </w:rPr>
        <w:t>Article 10 – Responsabilité technique</w:t>
      </w:r>
    </w:p>
    <w:p>
      <w:pPr>
        <w:spacing w:after="120"/>
      </w:pPr>
      <w:r>
        <w:rPr>
          <w:sz w:val="22"/>
        </w:rPr>
        <w:t>Le client est informé que :</w:t>
      </w:r>
    </w:p>
    <w:p>
      <w:pPr>
        <w:spacing w:after="120"/>
      </w:pPr>
      <w:r>
        <w:rPr>
          <w:sz w:val="22"/>
        </w:rPr>
        <w:t>Un appareil déjà endommagé (choc, oxydation, déformation…) peut présenter des pannes supplémentaires lors de l'ouverture.</w:t>
      </w:r>
    </w:p>
    <w:p>
      <w:pPr>
        <w:spacing w:after="120"/>
      </w:pPr>
      <w:r>
        <w:rPr>
          <w:sz w:val="22"/>
        </w:rPr>
        <w:t>Fred Réparation ne saurait être tenu responsable de l'apparition de nouvelles pannes liées à l'état initial de l'appareil.</w:t>
      </w:r>
    </w:p>
    <w:p>
      <w:pPr>
        <w:spacing w:before="360" w:after="160"/>
      </w:pPr>
      <w:r>
        <w:rPr>
          <w:b/>
          <w:color w:val="1E40AF"/>
          <w:sz w:val="28"/>
        </w:rPr>
        <w:t>Article 10 bis – Oxydation, humidité et pannes récurrentes</w:t>
      </w:r>
    </w:p>
    <w:p>
      <w:pPr>
        <w:spacing w:after="120"/>
      </w:pPr>
      <w:r>
        <w:rPr>
          <w:b/>
          <w:sz w:val="22"/>
        </w:rPr>
        <w:t>1. Appareils oxydés ou ayant subi un contact avec un liquide</w:t>
      </w:r>
    </w:p>
    <w:p>
      <w:pPr>
        <w:pStyle w:val="ListBullet"/>
        <w:spacing w:after="60"/>
      </w:pPr>
      <w:r>
        <w:t>Tout appareil ayant été en contact avec de l'eau, de l'humidité ou tout autre liquide est considéré comme endommagé de manière irréversible, même si l'appareil semble fonctionner.</w:t>
      </w:r>
    </w:p>
    <w:p>
      <w:pPr>
        <w:pStyle w:val="ListBullet"/>
        <w:spacing w:after="60"/>
      </w:pPr>
      <w:r>
        <w:t>Une intervention sur un appareil oxydé est réalisée sans aucune garantie de résultat, ni dans le temps ni sur la durabilité.</w:t>
      </w:r>
    </w:p>
    <w:p>
      <w:pPr>
        <w:pStyle w:val="ListBullet"/>
        <w:spacing w:after="60"/>
      </w:pPr>
      <w:r>
        <w:t>Le client reconnaît que la réparation peut être temporaire et que de nouvelles pannes peuvent survenir à tout moment (jours, semaines ou mois).</w:t>
      </w:r>
    </w:p>
    <w:p>
      <w:pPr>
        <w:spacing w:after="120"/>
      </w:pPr>
      <w:r>
        <w:rPr>
          <w:b/>
          <w:sz w:val="22"/>
        </w:rPr>
        <w:t>2. Exclusion totale de garantie</w:t>
      </w:r>
    </w:p>
    <w:p>
      <w:pPr>
        <w:spacing w:after="120"/>
      </w:pPr>
      <w:r>
        <w:rPr>
          <w:sz w:val="22"/>
        </w:rPr>
        <w:t>Les pièces remplacées (batterie, écran, connecteur, etc.) sur un appareil oxydé ne sont pas couvertes par la garantie de 3 mois, l'oxydation pouvant attaquer progressivement les composants neufs.</w:t>
      </w:r>
    </w:p>
    <w:p>
      <w:pPr>
        <w:spacing w:after="120"/>
      </w:pPr>
      <w:r>
        <w:rPr>
          <w:b/>
          <w:sz w:val="22"/>
        </w:rPr>
        <w:t>3. Pannes récurrentes après réparation</w:t>
      </w:r>
    </w:p>
    <w:p>
      <w:pPr>
        <w:pStyle w:val="ListBullet"/>
        <w:spacing w:after="60"/>
      </w:pPr>
      <w:r>
        <w:t>Si une nouvelle panne survient après une réparation sur un appareil oxydé ou ayant subi un choc/déformation préalable, celle-ci ne pourra donner lieu à aucun remboursement ni nouvelle intervention gratuite.</w:t>
      </w:r>
    </w:p>
    <w:p>
      <w:pPr>
        <w:pStyle w:val="ListBullet"/>
        <w:spacing w:after="60"/>
      </w:pPr>
      <w:r>
        <w:t>Le client conserve la possibilité de faire diagnostiquer la nouvelle panne, qui fera l'objet d'un nouveau devis.</w:t>
      </w:r>
    </w:p>
    <w:p>
      <w:pPr>
        <w:spacing w:after="120"/>
      </w:pPr>
      <w:r>
        <w:rPr>
          <w:b/>
          <w:sz w:val="22"/>
        </w:rPr>
        <w:t>4. Acceptation expresse du risque</w:t>
      </w:r>
    </w:p>
    <w:p>
      <w:pPr>
        <w:spacing w:after="120"/>
      </w:pPr>
      <w:r>
        <w:rPr>
          <w:sz w:val="22"/>
        </w:rPr>
        <w:t>En confiant son appareil oxydé à Fred Réparation, le client accepte expressément les risques liés à cette intervention et renonce à toute réclamation ultérieure.</w:t>
      </w:r>
    </w:p>
    <w:p>
      <w:pPr>
        <w:spacing w:after="120"/>
      </w:pPr>
      <w:r>
        <w:rPr>
          <w:b/>
          <w:sz w:val="22"/>
        </w:rPr>
        <w:t>5. Pannes secondaires révélées</w:t>
      </w:r>
    </w:p>
    <w:p>
      <w:pPr>
        <w:spacing w:after="120"/>
      </w:pPr>
      <w:r>
        <w:rPr>
          <w:sz w:val="22"/>
        </w:rPr>
        <w:t>L'ouverture d'un appareil oxydé peut révéler ou aggraver des pannes existantes (carte mère, connecteur, composants internes). Fred Réparation ne pourra en aucun cas être tenu responsable de ces pannes secondaires.</w:t>
      </w:r>
    </w:p>
    <w:p>
      <w:pPr>
        <w:spacing w:before="360" w:after="160"/>
      </w:pPr>
      <w:r>
        <w:rPr>
          <w:b/>
          <w:color w:val="1E40AF"/>
          <w:sz w:val="28"/>
        </w:rPr>
        <w:t>Article 11 – Appareils non récupérés</w:t>
      </w:r>
    </w:p>
    <w:p>
      <w:pPr>
        <w:spacing w:after="120"/>
      </w:pPr>
      <w:r>
        <w:rPr>
          <w:sz w:val="22"/>
        </w:rPr>
        <w:t>Tout appareil non récupéré dans un délai de 30 jours après notification de fin de réparation pourra être considéré comme abandonné.</w:t>
      </w:r>
    </w:p>
    <w:p>
      <w:pPr>
        <w:spacing w:after="120"/>
      </w:pPr>
      <w:r>
        <w:rPr>
          <w:sz w:val="22"/>
        </w:rPr>
        <w:t>Fred Réparation se réserve le droit d'en disposer.</w:t>
      </w:r>
    </w:p>
    <w:p>
      <w:pPr>
        <w:spacing w:before="360" w:after="160"/>
      </w:pPr>
      <w:r>
        <w:rPr>
          <w:b/>
          <w:color w:val="1E40AF"/>
          <w:sz w:val="28"/>
        </w:rPr>
        <w:t>Article 12 – Données personnelles (RGPD)</w:t>
      </w:r>
    </w:p>
    <w:p>
      <w:pPr>
        <w:spacing w:after="120"/>
      </w:pPr>
      <w:r>
        <w:rPr>
          <w:sz w:val="22"/>
        </w:rPr>
        <w:t>Les informations collectées sont utilisées uniquement dans le cadre de la relation commerciale.</w:t>
      </w:r>
    </w:p>
    <w:p>
      <w:pPr>
        <w:spacing w:after="120"/>
      </w:pPr>
      <w:r>
        <w:rPr>
          <w:sz w:val="22"/>
        </w:rPr>
        <w:t>Elles ne sont ni revendues ni transmises à des tiers.</w:t>
      </w:r>
    </w:p>
    <w:p>
      <w:pPr>
        <w:spacing w:after="120"/>
      </w:pPr>
      <w:r>
        <w:rPr>
          <w:sz w:val="22"/>
        </w:rPr>
        <w:t>Conformément à la réglementation, le client peut demander l'accès, la modification ou la suppression de ses données.</w:t>
      </w:r>
    </w:p>
    <w:p>
      <w:pPr>
        <w:spacing w:before="360" w:after="160"/>
      </w:pPr>
      <w:r>
        <w:rPr>
          <w:b/>
          <w:color w:val="1E40AF"/>
          <w:sz w:val="28"/>
        </w:rPr>
        <w:t>Article 13 – Litige – Médiation de la consommation</w:t>
      </w:r>
    </w:p>
    <w:p>
      <w:pPr>
        <w:spacing w:after="120"/>
      </w:pPr>
      <w:r>
        <w:rPr>
          <w:sz w:val="22"/>
        </w:rPr>
        <w:t>En cas de litige entre le Client et l'entreprise, ceux-ci s'efforceront de le résoudre à l'amiable (le Client adressera une réclamation écrite auprès du professionnel ou, le cas échéant, auprès du Service Relations Clientèle du professionnel).</w:t>
      </w:r>
    </w:p>
    <w:p>
      <w:pPr>
        <w:spacing w:after="120"/>
      </w:pPr>
      <w:r>
        <w:rPr>
          <w:sz w:val="22"/>
        </w:rPr>
        <w:t>À défaut d'accord amiable ou en l'absence de réponse du professionnel dans un délai raisonnable d'un (1) mois, le Client consommateur au sens de l'article L.612-2 du code de la consommation a la possibilité de saisir gratuitement, si un désaccord subsiste, le médiateur compétent inscrit sur la liste des médiateurs établie par la Commission d'évaluation et de contrôle de la médiation de la consommation en application de l'article L.615-1 du code de la consommation, à savoir :</w:t>
      </w:r>
    </w:p>
    <w:p>
      <w:pPr>
        <w:spacing w:after="120"/>
      </w:pPr>
      <w:r>
        <w:rPr>
          <w:b/>
          <w:sz w:val="22"/>
        </w:rPr>
        <w:t>Société Médiation Professionnelle</w:t>
      </w:r>
    </w:p>
    <w:p>
      <w:pPr>
        <w:spacing w:after="120"/>
      </w:pPr>
      <w:r>
        <w:rPr>
          <w:sz w:val="22"/>
        </w:rPr>
        <w:t>www.mediateur-consommation-smp.fr</w:t>
      </w:r>
    </w:p>
    <w:p>
      <w:pPr>
        <w:spacing w:after="120"/>
      </w:pPr>
      <w:r>
        <w:rPr>
          <w:sz w:val="22"/>
        </w:rPr>
        <w:t>Alteritae, 5 rue Salvaing, 12000 Rodez</w:t>
      </w:r>
    </w:p>
    <w:p>
      <w:pPr>
        <w:spacing w:before="360" w:after="160"/>
      </w:pPr>
      <w:r>
        <w:rPr>
          <w:b/>
          <w:color w:val="1E40AF"/>
          <w:sz w:val="28"/>
        </w:rPr>
        <w:t>Article 14 – Mise à jour</w:t>
      </w:r>
    </w:p>
    <w:p>
      <w:pPr>
        <w:spacing w:after="120"/>
      </w:pPr>
      <w:r>
        <w:rPr>
          <w:sz w:val="22"/>
        </w:rPr>
        <w:t>Les présentes conditions peuvent être modifiées à tout moment.</w:t>
      </w:r>
    </w:p>
    <w:p>
      <w:pPr>
        <w:spacing w:after="120"/>
      </w:pPr>
      <w:r>
        <w:rPr>
          <w:b/>
          <w:sz w:val="22"/>
        </w:rPr>
        <w:t>Version applicable : Mars 2026</w:t>
      </w:r>
    </w:p>
    <w:p/>
    <w:p>
      <w:pPr>
        <w:jc w:val="center"/>
      </w:pPr>
      <w:r>
        <w:rPr>
          <w:i/>
          <w:color w:val="4B5563"/>
          <w:sz w:val="18"/>
        </w:rPr>
        <w:t>Fred Réparation – 88 rue Gosset, 51100 Reims – www.fredreparation.fr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